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EB5D54">
      <w:pPr>
        <w:pStyle w:val="2"/>
        <w:keepNext w:val="0"/>
        <w:keepLines w:val="0"/>
        <w:widowControl/>
        <w:suppressLineNumbers w:val="0"/>
        <w:rPr>
          <w:rFonts w:hint="default" w:ascii="Arial" w:hAnsi="Arial" w:cs="Arial"/>
          <w:b w:val="0"/>
          <w:bCs w:val="0"/>
          <w:sz w:val="20"/>
          <w:szCs w:val="20"/>
        </w:rPr>
      </w:pPr>
      <w:bookmarkStart w:id="0" w:name="_GoBack"/>
      <w:r>
        <w:rPr>
          <w:rFonts w:hint="default" w:ascii="Arial" w:hAnsi="Arial" w:cs="Arial"/>
          <w:sz w:val="20"/>
          <w:szCs w:val="20"/>
        </w:rPr>
        <w:t xml:space="preserve">Cast Aluminum Pump Housing </w:t>
      </w:r>
      <w:r>
        <w:rPr>
          <w:rFonts w:hint="default" w:ascii="Arial" w:hAnsi="Arial" w:cs="Arial"/>
          <w:sz w:val="20"/>
          <w:szCs w:val="20"/>
        </w:rPr>
        <w:br w:type="textWrapping"/>
      </w:r>
      <w:bookmarkEnd w:id="0"/>
      <w:r>
        <w:rPr>
          <w:rFonts w:hint="default" w:ascii="Arial" w:hAnsi="Arial" w:cs="Arial"/>
          <w:b w:val="0"/>
          <w:bCs w:val="0"/>
          <w:sz w:val="20"/>
          <w:szCs w:val="20"/>
        </w:rPr>
        <w:t>Runhe Hydraulics can supply high-quality hydraulic pumps and engine connection brackets, which are compatible with a variety of models. They are structurally robust and have excellent precision, helping to ensure efficient and reliable connection of the power system.</w:t>
      </w:r>
    </w:p>
    <w:p w14:paraId="6276FABA">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textAlignment w:val="baseline"/>
        <w:rPr>
          <w:rFonts w:hint="default" w:ascii="Arial" w:hAnsi="Arial" w:cs="Arial"/>
          <w:b w:val="0"/>
          <w:bCs w:val="0"/>
          <w:sz w:val="20"/>
          <w:szCs w:val="20"/>
        </w:rPr>
      </w:pPr>
      <w:r>
        <w:rPr>
          <w:rFonts w:hint="default" w:ascii="Arial" w:hAnsi="Arial" w:eastAsia="Helvetica" w:cs="Arial"/>
          <w:b/>
          <w:bCs/>
          <w:i w:val="0"/>
          <w:iCs w:val="0"/>
          <w:caps w:val="0"/>
          <w:color w:val="000000"/>
          <w:spacing w:val="0"/>
          <w:sz w:val="20"/>
          <w:szCs w:val="20"/>
          <w:shd w:val="clear" w:fill="FFFFFF"/>
          <w:vertAlign w:val="baseline"/>
        </w:rPr>
        <w:t>Product Introduction</w:t>
      </w:r>
      <w:r>
        <w:rPr>
          <w:rFonts w:hint="default" w:ascii="Arial" w:hAnsi="Arial" w:eastAsia="Helvetica" w:cs="Arial"/>
          <w:b/>
          <w:bCs/>
          <w:i w:val="0"/>
          <w:iCs w:val="0"/>
          <w:caps w:val="0"/>
          <w:color w:val="000000"/>
          <w:spacing w:val="0"/>
          <w:sz w:val="20"/>
          <w:szCs w:val="20"/>
          <w:shd w:val="clear" w:fill="FFFFFF"/>
          <w:vertAlign w:val="baseline"/>
        </w:rPr>
        <w:br w:type="textWrapping"/>
      </w:r>
      <w:r>
        <w:rPr>
          <w:rFonts w:hint="default" w:ascii="Arial" w:hAnsi="Arial" w:cs="Arial"/>
          <w:b w:val="0"/>
          <w:bCs w:val="0"/>
          <w:i w:val="0"/>
          <w:iCs w:val="0"/>
          <w:caps w:val="0"/>
          <w:spacing w:val="0"/>
          <w:sz w:val="20"/>
          <w:szCs w:val="20"/>
          <w:shd w:val="clear" w:fill="FFFFFF"/>
        </w:rPr>
        <w:t>This is a precision-machined metal component by RUNHE, featuring a cylindrical body with a square mounting base. Designed for industrial assembly, it has precise holes for installation and internal hollow structures, ideal for hydraulic or mechanical system applications due to its robust, polished construction.</w:t>
      </w:r>
    </w:p>
    <w:p w14:paraId="0088CD9B">
      <w:pPr>
        <w:pStyle w:val="3"/>
        <w:keepNext w:val="0"/>
        <w:keepLines w:val="0"/>
        <w:widowControl/>
        <w:suppressLineNumbers w:val="0"/>
        <w:rPr>
          <w:rFonts w:hint="default" w:ascii="Arial" w:hAnsi="Arial" w:cs="Arial"/>
          <w:sz w:val="20"/>
          <w:szCs w:val="20"/>
        </w:rPr>
      </w:pPr>
      <w:r>
        <w:rPr>
          <w:rFonts w:hint="default" w:ascii="Arial" w:hAnsi="Arial" w:cs="Arial"/>
          <w:sz w:val="20"/>
          <w:szCs w:val="20"/>
        </w:rPr>
        <w:t>Product Parameters</w:t>
      </w:r>
    </w:p>
    <w:tbl>
      <w:tblPr>
        <w:tblW w:w="9750"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autofit"/>
        <w:tblCellMar>
          <w:top w:w="15" w:type="dxa"/>
          <w:left w:w="15" w:type="dxa"/>
          <w:bottom w:w="15" w:type="dxa"/>
          <w:right w:w="15" w:type="dxa"/>
        </w:tblCellMar>
      </w:tblPr>
      <w:tblGrid>
        <w:gridCol w:w="2336"/>
        <w:gridCol w:w="7414"/>
      </w:tblGrid>
      <w:tr w14:paraId="1B93AE29">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2580" w:type="dxa"/>
            <w:tcBorders>
              <w:top w:val="outset" w:color="auto" w:sz="6" w:space="0"/>
              <w:left w:val="outset" w:color="auto" w:sz="6" w:space="0"/>
              <w:bottom w:val="outset" w:color="auto" w:sz="6" w:space="0"/>
              <w:right w:val="outset" w:color="auto" w:sz="6" w:space="0"/>
            </w:tcBorders>
            <w:shd w:val="clear"/>
            <w:vAlign w:val="center"/>
          </w:tcPr>
          <w:p w14:paraId="19B56502">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Parameter</w:t>
            </w:r>
          </w:p>
        </w:tc>
        <w:tc>
          <w:tcPr>
            <w:tcW w:w="8505" w:type="dxa"/>
            <w:tcBorders>
              <w:top w:val="outset" w:color="auto" w:sz="6" w:space="0"/>
              <w:left w:val="outset" w:color="auto" w:sz="6" w:space="0"/>
              <w:bottom w:val="outset" w:color="auto" w:sz="6" w:space="0"/>
              <w:right w:val="outset" w:color="auto" w:sz="6" w:space="0"/>
            </w:tcBorders>
            <w:shd w:val="clear"/>
            <w:vAlign w:val="center"/>
          </w:tcPr>
          <w:p w14:paraId="4E8823B3">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Details</w:t>
            </w:r>
          </w:p>
        </w:tc>
      </w:tr>
      <w:tr w14:paraId="3CF1525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0" w:type="auto"/>
            <w:tcBorders>
              <w:top w:val="outset" w:color="auto" w:sz="6" w:space="0"/>
              <w:left w:val="outset" w:color="auto" w:sz="6" w:space="0"/>
              <w:bottom w:val="outset" w:color="auto" w:sz="6" w:space="0"/>
              <w:right w:val="outset" w:color="auto" w:sz="6" w:space="0"/>
            </w:tcBorders>
            <w:shd w:val="clear"/>
            <w:vAlign w:val="center"/>
          </w:tcPr>
          <w:p w14:paraId="5F1D21CD">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Product Name</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4B30CC20">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Lightweight Pump Bracket</w:t>
            </w:r>
          </w:p>
        </w:tc>
      </w:tr>
      <w:tr w14:paraId="4A64E2E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0" w:type="auto"/>
            <w:tcBorders>
              <w:top w:val="outset" w:color="auto" w:sz="6" w:space="0"/>
              <w:left w:val="outset" w:color="auto" w:sz="6" w:space="0"/>
              <w:bottom w:val="outset" w:color="auto" w:sz="6" w:space="0"/>
              <w:right w:val="outset" w:color="auto" w:sz="6" w:space="0"/>
            </w:tcBorders>
            <w:shd w:val="clear"/>
            <w:vAlign w:val="center"/>
          </w:tcPr>
          <w:p w14:paraId="14411C95">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Brand</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46926DC2">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Runhe</w:t>
            </w:r>
          </w:p>
        </w:tc>
      </w:tr>
      <w:tr w14:paraId="5B8B07D6">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0" w:type="auto"/>
            <w:tcBorders>
              <w:top w:val="outset" w:color="auto" w:sz="6" w:space="0"/>
              <w:left w:val="outset" w:color="auto" w:sz="6" w:space="0"/>
              <w:bottom w:val="outset" w:color="auto" w:sz="6" w:space="0"/>
              <w:right w:val="outset" w:color="auto" w:sz="6" w:space="0"/>
            </w:tcBorders>
            <w:shd w:val="clear"/>
            <w:vAlign w:val="center"/>
          </w:tcPr>
          <w:p w14:paraId="10CA1760">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Material</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260FDFF1">
            <w:pPr>
              <w:keepNext w:val="0"/>
              <w:keepLines w:val="0"/>
              <w:widowControl/>
              <w:suppressLineNumbers w:val="0"/>
              <w:jc w:val="left"/>
              <w:rPr>
                <w:rFonts w:hint="default" w:ascii="Arial" w:hAnsi="Arial" w:cs="Arial"/>
                <w:sz w:val="20"/>
                <w:szCs w:val="20"/>
              </w:rPr>
            </w:pPr>
            <w:r>
              <w:rPr>
                <w:rFonts w:hint="default" w:ascii="Arial" w:hAnsi="Arial" w:eastAsia="宋体" w:cs="Arial"/>
                <w:i w:val="0"/>
                <w:iCs w:val="0"/>
                <w:caps w:val="0"/>
                <w:spacing w:val="0"/>
                <w:kern w:val="0"/>
                <w:sz w:val="20"/>
                <w:szCs w:val="20"/>
                <w:shd w:val="clear" w:fill="FFFFFF"/>
                <w:lang w:val="en-US" w:eastAsia="zh-CN" w:bidi="ar"/>
              </w:rPr>
              <w:t>Aluminum alloy</w:t>
            </w:r>
          </w:p>
        </w:tc>
      </w:tr>
      <w:tr w14:paraId="742CEFF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0" w:type="auto"/>
            <w:tcBorders>
              <w:top w:val="outset" w:color="auto" w:sz="6" w:space="0"/>
              <w:left w:val="outset" w:color="auto" w:sz="6" w:space="0"/>
              <w:bottom w:val="outset" w:color="auto" w:sz="6" w:space="0"/>
              <w:right w:val="outset" w:color="auto" w:sz="6" w:space="0"/>
            </w:tcBorders>
            <w:shd w:val="clear"/>
            <w:vAlign w:val="center"/>
          </w:tcPr>
          <w:p w14:paraId="3E362944">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Core Structure</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0A5BC1A8">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With Heat Dissipation Mesh Hole</w:t>
            </w:r>
          </w:p>
        </w:tc>
      </w:tr>
      <w:tr w14:paraId="40287772">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0" w:type="auto"/>
            <w:tcBorders>
              <w:top w:val="outset" w:color="auto" w:sz="6" w:space="0"/>
              <w:left w:val="outset" w:color="auto" w:sz="6" w:space="0"/>
              <w:bottom w:val="outset" w:color="auto" w:sz="6" w:space="0"/>
              <w:right w:val="outset" w:color="auto" w:sz="6" w:space="0"/>
            </w:tcBorders>
            <w:shd w:val="clear"/>
            <w:vAlign w:val="center"/>
          </w:tcPr>
          <w:p w14:paraId="614AD78D">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Application Scene</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62A1ED51">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Hydraulic Pump/Motor Connection</w:t>
            </w:r>
          </w:p>
        </w:tc>
      </w:tr>
      <w:tr w14:paraId="05FDD80E">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0" w:type="auto"/>
            <w:tcBorders>
              <w:top w:val="outset" w:color="auto" w:sz="6" w:space="0"/>
              <w:left w:val="outset" w:color="auto" w:sz="6" w:space="0"/>
              <w:bottom w:val="outset" w:color="auto" w:sz="6" w:space="0"/>
              <w:right w:val="outset" w:color="auto" w:sz="6" w:space="0"/>
            </w:tcBorders>
            <w:shd w:val="clear"/>
            <w:vAlign w:val="center"/>
          </w:tcPr>
          <w:p w14:paraId="21D127C6">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Functions</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017C916F">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Protection, Vibration Damping, Transmission Adaptation</w:t>
            </w:r>
          </w:p>
        </w:tc>
      </w:tr>
      <w:tr w14:paraId="15326990">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rPr>
          <w:trHeight w:val="270" w:hRule="atLeast"/>
        </w:trPr>
        <w:tc>
          <w:tcPr>
            <w:tcW w:w="0" w:type="auto"/>
            <w:tcBorders>
              <w:top w:val="outset" w:color="auto" w:sz="6" w:space="0"/>
              <w:left w:val="outset" w:color="auto" w:sz="6" w:space="0"/>
              <w:bottom w:val="outset" w:color="auto" w:sz="6" w:space="0"/>
              <w:right w:val="outset" w:color="auto" w:sz="6" w:space="0"/>
            </w:tcBorders>
            <w:shd w:val="clear"/>
            <w:vAlign w:val="center"/>
          </w:tcPr>
          <w:p w14:paraId="01668489">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Installation Type</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335DB875">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Flange-mounted (with top/bottom mounting holes)</w:t>
            </w:r>
          </w:p>
        </w:tc>
      </w:tr>
      <w:tr w14:paraId="6C45C4DD">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14:paraId="13675E06">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Size</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01276E7A">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Custom </w:t>
            </w:r>
          </w:p>
        </w:tc>
      </w:tr>
      <w:tr w14:paraId="0F29F805">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CellMar>
            <w:top w:w="15" w:type="dxa"/>
            <w:left w:w="15" w:type="dxa"/>
            <w:bottom w:w="15" w:type="dxa"/>
            <w:right w:w="15" w:type="dxa"/>
          </w:tblCellMar>
        </w:tblPrEx>
        <w:tc>
          <w:tcPr>
            <w:tcW w:w="0" w:type="auto"/>
            <w:tcBorders>
              <w:top w:val="outset" w:color="auto" w:sz="6" w:space="0"/>
              <w:left w:val="outset" w:color="auto" w:sz="6" w:space="0"/>
              <w:bottom w:val="outset" w:color="auto" w:sz="6" w:space="0"/>
              <w:right w:val="outset" w:color="auto" w:sz="6" w:space="0"/>
            </w:tcBorders>
            <w:shd w:val="clear"/>
            <w:vAlign w:val="center"/>
          </w:tcPr>
          <w:p w14:paraId="7F7F2EDC">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Color</w:t>
            </w:r>
          </w:p>
        </w:tc>
        <w:tc>
          <w:tcPr>
            <w:tcW w:w="0" w:type="auto"/>
            <w:tcBorders>
              <w:top w:val="outset" w:color="auto" w:sz="6" w:space="0"/>
              <w:left w:val="outset" w:color="auto" w:sz="6" w:space="0"/>
              <w:bottom w:val="outset" w:color="auto" w:sz="6" w:space="0"/>
              <w:right w:val="outset" w:color="auto" w:sz="6" w:space="0"/>
            </w:tcBorders>
            <w:shd w:val="clear"/>
            <w:vAlign w:val="center"/>
          </w:tcPr>
          <w:p w14:paraId="40A56DA1">
            <w:pPr>
              <w:keepNext w:val="0"/>
              <w:keepLines w:val="0"/>
              <w:widowControl/>
              <w:suppressLineNumbers w:val="0"/>
              <w:jc w:val="left"/>
              <w:rPr>
                <w:rFonts w:hint="default" w:ascii="Arial" w:hAnsi="Arial" w:cs="Arial"/>
                <w:sz w:val="20"/>
                <w:szCs w:val="20"/>
              </w:rPr>
            </w:pPr>
            <w:r>
              <w:rPr>
                <w:rFonts w:hint="default" w:ascii="Arial" w:hAnsi="Arial" w:eastAsia="宋体" w:cs="Arial"/>
                <w:kern w:val="0"/>
                <w:sz w:val="20"/>
                <w:szCs w:val="20"/>
                <w:lang w:val="en-US" w:eastAsia="zh-CN" w:bidi="ar"/>
              </w:rPr>
              <w:t>Silver</w:t>
            </w:r>
          </w:p>
        </w:tc>
      </w:tr>
    </w:tbl>
    <w:p w14:paraId="19803BBA">
      <w:pPr>
        <w:pStyle w:val="3"/>
        <w:keepNext w:val="0"/>
        <w:keepLines w:val="0"/>
        <w:widowControl/>
        <w:suppressLineNumbers w:val="0"/>
        <w:rPr>
          <w:rFonts w:hint="default" w:ascii="Arial" w:hAnsi="Arial" w:cs="Arial"/>
          <w:b w:val="0"/>
          <w:bCs w:val="0"/>
          <w:sz w:val="20"/>
          <w:szCs w:val="20"/>
        </w:rPr>
      </w:pPr>
      <w:r>
        <w:rPr>
          <w:rFonts w:hint="default" w:ascii="Arial" w:hAnsi="Arial" w:cs="Arial"/>
          <w:sz w:val="20"/>
          <w:szCs w:val="20"/>
        </w:rPr>
        <w:t>Product Application</w:t>
      </w:r>
      <w:r>
        <w:rPr>
          <w:rFonts w:hint="default" w:ascii="Arial" w:hAnsi="Arial" w:cs="Arial"/>
          <w:sz w:val="20"/>
          <w:szCs w:val="20"/>
        </w:rPr>
        <w:br w:type="textWrapping"/>
      </w:r>
      <w:r>
        <w:rPr>
          <w:rFonts w:hint="default" w:ascii="Arial" w:hAnsi="Arial" w:cs="Arial"/>
          <w:b w:val="0"/>
          <w:bCs w:val="0"/>
          <w:i w:val="0"/>
          <w:iCs w:val="0"/>
          <w:caps w:val="0"/>
          <w:spacing w:val="0"/>
          <w:sz w:val="20"/>
          <w:szCs w:val="20"/>
          <w:shd w:val="clear" w:fill="FFFFFF"/>
        </w:rPr>
        <w:t>This RUNHE precision part suits hydraulic/mechanical systems—e.g., pump assemblies, valve mounts. Its robust, polished metal build &amp; precise holes enable stable installation. Ideal for industrial machinery (excavators, loaders) to support component positioning, fluid flow, and structural connection in high-demand operational environments.</w:t>
      </w:r>
    </w:p>
    <w:p w14:paraId="56B3FA1A">
      <w:pPr>
        <w:pStyle w:val="3"/>
        <w:keepNext w:val="0"/>
        <w:keepLines w:val="0"/>
        <w:widowControl/>
        <w:suppressLineNumbers w:val="0"/>
        <w:rPr>
          <w:rFonts w:hint="default" w:ascii="Arial" w:hAnsi="Arial" w:cs="Arial"/>
          <w:b w:val="0"/>
          <w:bCs w:val="0"/>
          <w:sz w:val="20"/>
          <w:szCs w:val="20"/>
        </w:rPr>
      </w:pPr>
      <w:r>
        <w:rPr>
          <w:rFonts w:hint="default" w:ascii="Arial" w:hAnsi="Arial" w:cs="Arial"/>
          <w:sz w:val="20"/>
          <w:szCs w:val="20"/>
        </w:rPr>
        <w:t>Product Advantages</w:t>
      </w:r>
      <w:r>
        <w:rPr>
          <w:rFonts w:hint="default" w:ascii="Arial" w:hAnsi="Arial" w:cs="Arial"/>
          <w:sz w:val="20"/>
          <w:szCs w:val="20"/>
        </w:rPr>
        <w:br w:type="textWrapping"/>
      </w:r>
      <w:r>
        <w:rPr>
          <w:rFonts w:hint="default" w:ascii="Arial" w:hAnsi="Arial" w:cs="Arial"/>
          <w:b w:val="0"/>
          <w:bCs w:val="0"/>
          <w:i w:val="0"/>
          <w:iCs w:val="0"/>
          <w:caps w:val="0"/>
          <w:spacing w:val="0"/>
          <w:sz w:val="20"/>
          <w:szCs w:val="20"/>
          <w:shd w:val="clear" w:fill="FFFFFF"/>
        </w:rPr>
        <w:t>This RUNHE component boasts precision machining for tight fits, robust metal build for durability, and polished surfaces to resist wear. Its integrated mounting holes cut assembly time, while the hollow design optimizes weight—ideal for high-efficiency, long-lasting performance in industrial systems.</w:t>
      </w:r>
    </w:p>
    <w:p w14:paraId="43658366">
      <w:pPr>
        <w:pStyle w:val="6"/>
        <w:keepNext w:val="0"/>
        <w:keepLines w:val="0"/>
        <w:widowControl/>
        <w:suppressLineNumbers w:val="0"/>
        <w:rPr>
          <w:rFonts w:hint="default" w:ascii="Arial" w:hAnsi="Arial" w:cs="Arial"/>
          <w:sz w:val="20"/>
          <w:szCs w:val="20"/>
        </w:rPr>
      </w:pPr>
      <w:r>
        <w:rPr>
          <w:rFonts w:hint="default" w:ascii="Arial" w:hAnsi="Arial" w:cs="Arial"/>
          <w:sz w:val="20"/>
          <w:szCs w:val="20"/>
          <w:lang w:val="en-US" w:eastAsia="zh-CN"/>
        </w:rPr>
        <w:drawing>
          <wp:anchor distT="0" distB="0" distL="114300" distR="114300" simplePos="0" relativeHeight="251660288" behindDoc="0" locked="0" layoutInCell="1" allowOverlap="1">
            <wp:simplePos x="0" y="0"/>
            <wp:positionH relativeFrom="column">
              <wp:posOffset>2468245</wp:posOffset>
            </wp:positionH>
            <wp:positionV relativeFrom="paragraph">
              <wp:posOffset>210820</wp:posOffset>
            </wp:positionV>
            <wp:extent cx="2193290" cy="2193290"/>
            <wp:effectExtent l="0" t="0" r="16510" b="16510"/>
            <wp:wrapNone/>
            <wp:docPr id="16" name="图片 16" descr="Vertical support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Vertical support20"/>
                    <pic:cNvPicPr>
                      <a:picLocks noChangeAspect="1"/>
                    </pic:cNvPicPr>
                  </pic:nvPicPr>
                  <pic:blipFill>
                    <a:blip r:embed="rId5"/>
                    <a:stretch>
                      <a:fillRect/>
                    </a:stretch>
                  </pic:blipFill>
                  <pic:spPr>
                    <a:xfrm>
                      <a:off x="0" y="0"/>
                      <a:ext cx="2193290" cy="2193290"/>
                    </a:xfrm>
                    <a:prstGeom prst="rect">
                      <a:avLst/>
                    </a:prstGeom>
                  </pic:spPr>
                </pic:pic>
              </a:graphicData>
            </a:graphic>
          </wp:anchor>
        </w:drawing>
      </w:r>
      <w:r>
        <w:rPr>
          <w:rFonts w:hint="default" w:ascii="Arial" w:hAnsi="Arial" w:cs="Arial"/>
          <w:sz w:val="20"/>
          <w:szCs w:val="20"/>
          <w:lang w:val="en-US" w:eastAsia="zh-CN"/>
        </w:rPr>
        <w:drawing>
          <wp:anchor distT="0" distB="0" distL="114300" distR="114300" simplePos="0" relativeHeight="251659264" behindDoc="0" locked="0" layoutInCell="1" allowOverlap="1">
            <wp:simplePos x="0" y="0"/>
            <wp:positionH relativeFrom="column">
              <wp:posOffset>182880</wp:posOffset>
            </wp:positionH>
            <wp:positionV relativeFrom="paragraph">
              <wp:posOffset>215900</wp:posOffset>
            </wp:positionV>
            <wp:extent cx="2219325" cy="2219325"/>
            <wp:effectExtent l="0" t="0" r="9525" b="9525"/>
            <wp:wrapNone/>
            <wp:docPr id="15" name="图片 15" descr="Vertical support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Vertical support19"/>
                    <pic:cNvPicPr>
                      <a:picLocks noChangeAspect="1"/>
                    </pic:cNvPicPr>
                  </pic:nvPicPr>
                  <pic:blipFill>
                    <a:blip r:embed="rId6"/>
                    <a:stretch>
                      <a:fillRect/>
                    </a:stretch>
                  </pic:blipFill>
                  <pic:spPr>
                    <a:xfrm>
                      <a:off x="0" y="0"/>
                      <a:ext cx="2219325" cy="2219325"/>
                    </a:xfrm>
                    <a:prstGeom prst="rect">
                      <a:avLst/>
                    </a:prstGeom>
                  </pic:spPr>
                </pic:pic>
              </a:graphicData>
            </a:graphic>
          </wp:anchor>
        </w:drawing>
      </w:r>
      <w:r>
        <w:rPr>
          <w:rFonts w:hint="default" w:ascii="Arial" w:hAnsi="Arial" w:cs="Arial"/>
          <w:sz w:val="20"/>
          <w:szCs w:val="20"/>
        </w:rPr>
        <w:t>Note: This product supports customization. For special requirements, please contact customer service.</w:t>
      </w:r>
    </w:p>
    <w:p w14:paraId="1372688C">
      <w:pPr>
        <w:tabs>
          <w:tab w:val="left" w:pos="3921"/>
        </w:tabs>
        <w:bidi w:val="0"/>
        <w:jc w:val="left"/>
        <w:rPr>
          <w:rFonts w:hint="default" w:ascii="Arial" w:hAnsi="Arial" w:cs="Arial"/>
          <w:sz w:val="20"/>
          <w:szCs w:val="20"/>
          <w:lang w:val="en-US" w:eastAsia="zh-CN"/>
        </w:rPr>
      </w:pPr>
    </w:p>
    <w:sectPr>
      <w:headerReference r:id="rId3" w:type="default"/>
      <w:pgSz w:w="11906" w:h="16838"/>
      <w:pgMar w:top="1160" w:right="1146" w:bottom="1440" w:left="960" w:header="29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EFF" w:usb1="C000785B" w:usb2="00000009" w:usb3="00000000" w:csb0="400001FF" w:csb1="FFFF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C7235F">
    <w:pPr>
      <w:pStyle w:val="5"/>
      <w:spacing w:before="0" w:beforeLines="182" w:beforeAutospacing="0" w:after="0" w:afterLines="150" w:afterAutospacing="0"/>
      <w:ind w:left="2700" w:hanging="2700" w:hangingChars="1500"/>
      <w:jc w:val="left"/>
      <w:rPr>
        <w:rFonts w:hint="default" w:ascii="Times New Roman" w:hAnsi="Times New Roman" w:cs="Times New Roman"/>
        <w:sz w:val="21"/>
        <w:szCs w:val="32"/>
        <w:lang w:val="en-US" w:eastAsia="zh-CN"/>
      </w:rPr>
    </w:pPr>
    <w:r>
      <w:rPr>
        <w:sz w:val="18"/>
      </w:rPr>
      <mc:AlternateContent>
        <mc:Choice Requires="wps">
          <w:drawing>
            <wp:anchor distT="0" distB="0" distL="114300" distR="114300" simplePos="0" relativeHeight="251662336" behindDoc="0" locked="0" layoutInCell="1" allowOverlap="1">
              <wp:simplePos x="0" y="0"/>
              <wp:positionH relativeFrom="column">
                <wp:posOffset>9525</wp:posOffset>
              </wp:positionH>
              <wp:positionV relativeFrom="paragraph">
                <wp:posOffset>990600</wp:posOffset>
              </wp:positionV>
              <wp:extent cx="6226175" cy="8890"/>
              <wp:effectExtent l="0" t="6350" r="3175" b="13335"/>
              <wp:wrapNone/>
              <wp:docPr id="3" name="直接连接符 3"/>
              <wp:cNvGraphicFramePr/>
              <a:graphic xmlns:a="http://schemas.openxmlformats.org/drawingml/2006/main">
                <a:graphicData uri="http://schemas.microsoft.com/office/word/2010/wordprocessingShape">
                  <wps:wsp>
                    <wps:cNvCnPr/>
                    <wps:spPr>
                      <a:xfrm flipV="1">
                        <a:off x="619125" y="1196975"/>
                        <a:ext cx="6226175" cy="8890"/>
                      </a:xfrm>
                      <a:prstGeom prst="line">
                        <a:avLst/>
                      </a:prstGeom>
                    </wps:spPr>
                    <wps:style>
                      <a:lnRef idx="2">
                        <a:prstClr val="black"/>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0.75pt;margin-top:78pt;height:0.7pt;width:490.25pt;z-index:251662336;mso-width-relative:page;mso-height-relative:page;" filled="f" stroked="t" coordsize="21600,21600" o:gfxdata="UEsDBAoAAAAAAIdO4kAAAAAAAAAAAAAAAAAEAAAAZHJzL1BLAwQUAAAACACHTuJArcMWWNQAAAAJ&#10;AQAADwAAAGRycy9kb3ducmV2LnhtbE1PQU7DMBC8I/EHa5G4USctlBDi9BCJGxK0IM5OvE0C8Tqy&#10;nTb9PZsTnHZnZzQ7U+xmO4gT+tA7UpCuEhBIjTM9tQo+P17uMhAhajJ6cIQKLhhgV15fFTo37kx7&#10;PB1iK9iEQq4VdDGOuZSh6dDqsHIjEnNH562ODH0rjddnNreDXCfJVlrdE3/o9IhVh83PYbIKelml&#10;9Zevju8XzDZx87b/fp1mpW5v0uQZRMQ5/olhic/RoeRMtZvIBDEwfmDhMrZcifmnbM1LvVwe70GW&#10;hfzfoPwFUEsDBBQAAAAIAIdO4kB2PVUc+gEAAMkDAAAOAAAAZHJzL2Uyb0RvYy54bWytUztuGzEQ&#10;7QPkDgT7aD+GZWmhlQsLThMkAvLpR1xSS4Q/kLRWukQuECBdUqVMn9vEOUaG3LUT2I2LbEEMZ4Zv&#10;5r2ZXV0etSIH7oO0pqXVrKSEG2Y7afYtff/u+sWCkhDBdKCs4S098UAv18+frQbX8Nr2VnXcEwQx&#10;oRlcS/sYXVMUgfVcQ5hZxw0GhfUaIl79vug8DIiuVVGX5bwYrO+ct4yHgN7NGKQTon8KoBVCMr6x&#10;7EZzE0dUzxVEpBR66QJd526F4Cy+ESLwSFRLkWnMJxZBe5fOYr2CZu/B9ZJNLcBTWnjASYM0WPQe&#10;agMRyI2Xj6C0ZN4GK+KMWV2MRLIiyKIqH2jztgfHMxeUOrh70cP/g2WvD1tPZNfSM0oMaBz47ecf&#10;vz59/f3zC56337+RsyTS4EKDuVdm66dbcFufGB+F10Qo6T7gNmUNkBU5tnReLav6nJIT+qvlfHlx&#10;PqrNj5GwFK/reYVOwjBjsVjmYRQjYAJ2PsSX3GqSjJYqaZIW0MDhVYjYBKbepSS3sddSqTxPZciA&#10;ReuLEsfMAJdU4HKgqR0SDWZPCag9bj+LPkMGq2SXnt/VvVKeHAB3ZqeAfUx9Y7VHWRsI/ZiWQyM9&#10;LSP+H0pqJFWmb3qtDIIkGUfhkrWz3Snrmf044Vxm2sa0Qv/e8+u/f+D6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K3DFljUAAAACQEAAA8AAAAAAAAAAQAgAAAAIgAAAGRycy9kb3ducmV2LnhtbFBL&#10;AQIUABQAAAAIAIdO4kB2PVUc+gEAAMkDAAAOAAAAAAAAAAEAIAAAACMBAABkcnMvZTJvRG9jLnht&#10;bFBLBQYAAAAABgAGAFkBAACPBQAAAAA=&#10;">
              <v:fill on="f" focussize="0,0"/>
              <v:stroke weight="1pt" color="#000000" miterlimit="8" joinstyle="miter"/>
              <v:imagedata o:title=""/>
              <o:lock v:ext="edit" aspectratio="f"/>
            </v:line>
          </w:pict>
        </mc:Fallback>
      </mc:AlternateContent>
    </w:r>
    <w:r>
      <w:rPr>
        <w:rFonts w:hint="eastAsia" w:eastAsiaTheme="minorEastAsia"/>
        <w:lang w:eastAsia="zh-CN"/>
      </w:rPr>
      <w:drawing>
        <wp:anchor distT="0" distB="0" distL="114300" distR="114300" simplePos="0" relativeHeight="251661312" behindDoc="0" locked="0" layoutInCell="1" allowOverlap="1">
          <wp:simplePos x="0" y="0"/>
          <wp:positionH relativeFrom="column">
            <wp:posOffset>-133350</wp:posOffset>
          </wp:positionH>
          <wp:positionV relativeFrom="paragraph">
            <wp:posOffset>136525</wp:posOffset>
          </wp:positionV>
          <wp:extent cx="1619885" cy="791845"/>
          <wp:effectExtent l="0" t="0" r="18415" b="8255"/>
          <wp:wrapNone/>
          <wp:docPr id="1" name="图片 1" descr="润赫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润赫logo"/>
                  <pic:cNvPicPr>
                    <a:picLocks noChangeAspect="1"/>
                  </pic:cNvPicPr>
                </pic:nvPicPr>
                <pic:blipFill>
                  <a:blip r:embed="rId1"/>
                  <a:stretch>
                    <a:fillRect/>
                  </a:stretch>
                </pic:blipFill>
                <pic:spPr>
                  <a:xfrm>
                    <a:off x="0" y="0"/>
                    <a:ext cx="1619885" cy="791845"/>
                  </a:xfrm>
                  <a:prstGeom prst="rect">
                    <a:avLst/>
                  </a:prstGeom>
                </pic:spPr>
              </pic:pic>
            </a:graphicData>
          </a:graphic>
        </wp:anchor>
      </w:drawing>
    </w:r>
    <w:r>
      <w:rPr>
        <w:rFonts w:hint="eastAsia"/>
        <w:lang w:val="en-US" w:eastAsia="zh-CN"/>
      </w:rPr>
      <w:t xml:space="preserve">                              </w:t>
    </w:r>
    <w:r>
      <w:rPr>
        <w:rFonts w:hint="default" w:ascii="Times New Roman" w:hAnsi="Times New Roman" w:cs="Times New Roman"/>
        <w:b/>
        <w:bCs/>
        <w:sz w:val="28"/>
        <w:szCs w:val="44"/>
        <w:lang w:val="en-US" w:eastAsia="zh-CN"/>
      </w:rPr>
      <w:t>H</w:t>
    </w:r>
    <w:r>
      <w:rPr>
        <w:rFonts w:hint="eastAsia" w:ascii="Times New Roman" w:hAnsi="Times New Roman" w:cs="Times New Roman"/>
        <w:b/>
        <w:bCs/>
        <w:sz w:val="28"/>
        <w:szCs w:val="44"/>
        <w:lang w:val="en-US" w:eastAsia="zh-CN"/>
      </w:rPr>
      <w:t>EBEI</w:t>
    </w:r>
    <w:r>
      <w:rPr>
        <w:rFonts w:hint="default" w:ascii="Times New Roman" w:hAnsi="Times New Roman" w:cs="Times New Roman"/>
        <w:b/>
        <w:bCs/>
        <w:sz w:val="28"/>
        <w:szCs w:val="44"/>
        <w:lang w:val="en-US" w:eastAsia="zh-CN"/>
      </w:rPr>
      <w:t xml:space="preserve"> R</w:t>
    </w:r>
    <w:r>
      <w:rPr>
        <w:rFonts w:hint="eastAsia" w:ascii="Times New Roman" w:hAnsi="Times New Roman" w:cs="Times New Roman"/>
        <w:b/>
        <w:bCs/>
        <w:sz w:val="28"/>
        <w:szCs w:val="44"/>
        <w:lang w:val="en-US" w:eastAsia="zh-CN"/>
      </w:rPr>
      <w:t>UNHE</w:t>
    </w:r>
    <w:r>
      <w:rPr>
        <w:rFonts w:hint="default" w:ascii="Times New Roman" w:hAnsi="Times New Roman" w:cs="Times New Roman"/>
        <w:b/>
        <w:bCs/>
        <w:sz w:val="28"/>
        <w:szCs w:val="44"/>
        <w:lang w:val="en-US" w:eastAsia="zh-CN"/>
      </w:rPr>
      <w:t xml:space="preserve"> </w:t>
    </w:r>
    <w:r>
      <w:rPr>
        <w:rFonts w:hint="eastAsia" w:ascii="Times New Roman" w:hAnsi="Times New Roman" w:cs="Times New Roman"/>
        <w:b/>
        <w:bCs/>
        <w:sz w:val="28"/>
        <w:szCs w:val="44"/>
        <w:lang w:val="en-US" w:eastAsia="zh-CN"/>
      </w:rPr>
      <w:t>HYDRAULIC</w:t>
    </w:r>
    <w:r>
      <w:rPr>
        <w:rFonts w:hint="default" w:ascii="Times New Roman" w:hAnsi="Times New Roman" w:cs="Times New Roman"/>
        <w:b/>
        <w:bCs/>
        <w:sz w:val="28"/>
        <w:szCs w:val="44"/>
        <w:lang w:val="en-US" w:eastAsia="zh-CN"/>
      </w:rPr>
      <w:t xml:space="preserve"> </w:t>
    </w:r>
    <w:r>
      <w:rPr>
        <w:rFonts w:hint="eastAsia" w:ascii="Times New Roman" w:hAnsi="Times New Roman" w:cs="Times New Roman"/>
        <w:b/>
        <w:bCs/>
        <w:sz w:val="28"/>
        <w:szCs w:val="44"/>
        <w:lang w:val="en-US" w:eastAsia="zh-CN"/>
      </w:rPr>
      <w:t>MACHINERY</w:t>
    </w:r>
    <w:r>
      <w:rPr>
        <w:rFonts w:hint="default" w:ascii="Times New Roman" w:hAnsi="Times New Roman" w:cs="Times New Roman"/>
        <w:b/>
        <w:bCs/>
        <w:sz w:val="28"/>
        <w:szCs w:val="44"/>
        <w:lang w:val="en-US" w:eastAsia="zh-CN"/>
      </w:rPr>
      <w:t xml:space="preserve"> C</w:t>
    </w:r>
    <w:r>
      <w:rPr>
        <w:rFonts w:hint="eastAsia" w:ascii="Times New Roman" w:hAnsi="Times New Roman" w:cs="Times New Roman"/>
        <w:b/>
        <w:bCs/>
        <w:sz w:val="28"/>
        <w:szCs w:val="44"/>
        <w:lang w:val="en-US" w:eastAsia="zh-CN"/>
      </w:rPr>
      <w:t>O</w:t>
    </w:r>
    <w:r>
      <w:rPr>
        <w:rFonts w:hint="default" w:ascii="Times New Roman" w:hAnsi="Times New Roman" w:cs="Times New Roman"/>
        <w:b/>
        <w:bCs/>
        <w:sz w:val="28"/>
        <w:szCs w:val="44"/>
        <w:lang w:val="en-US" w:eastAsia="zh-CN"/>
      </w:rPr>
      <w:t>.,</w:t>
    </w:r>
    <w:r>
      <w:rPr>
        <w:rFonts w:hint="eastAsia" w:ascii="Times New Roman" w:hAnsi="Times New Roman" w:cs="Times New Roman"/>
        <w:b/>
        <w:bCs/>
        <w:sz w:val="28"/>
        <w:szCs w:val="44"/>
        <w:lang w:val="en-US" w:eastAsia="zh-CN"/>
      </w:rPr>
      <w:t xml:space="preserve"> LTD</w:t>
    </w:r>
    <w:r>
      <w:rPr>
        <w:rFonts w:hint="default" w:ascii="Times New Roman" w:hAnsi="Times New Roman" w:cs="Times New Roman"/>
        <w:b/>
        <w:bCs/>
        <w:sz w:val="28"/>
        <w:szCs w:val="44"/>
        <w:lang w:val="en-US" w:eastAsia="zh-CN"/>
      </w:rPr>
      <w:t xml:space="preserve"> </w:t>
    </w:r>
    <w:r>
      <w:rPr>
        <w:rFonts w:hint="eastAsia" w:ascii="Times New Roman" w:hAnsi="Times New Roman" w:cs="Times New Roman"/>
        <w:sz w:val="21"/>
        <w:szCs w:val="32"/>
        <w:lang w:val="en-US" w:eastAsia="zh-CN"/>
      </w:rPr>
      <w:t xml:space="preserve">Add: No.27 Zhonghua North Street, Xinhua District, Shijiazhuang City, </w:t>
    </w:r>
    <w:r>
      <w:rPr>
        <w:rFonts w:hint="eastAsia" w:ascii="Times New Roman" w:hAnsi="Times New Roman" w:cs="Times New Roman"/>
        <w:sz w:val="21"/>
        <w:szCs w:val="32"/>
        <w:lang w:val="en-US" w:eastAsia="zh-CN"/>
      </w:rPr>
      <w:br w:type="textWrapping"/>
    </w:r>
    <w:r>
      <w:rPr>
        <w:rFonts w:hint="eastAsia" w:ascii="Times New Roman" w:hAnsi="Times New Roman" w:cs="Times New Roman"/>
        <w:sz w:val="21"/>
        <w:szCs w:val="32"/>
        <w:lang w:val="en-US" w:eastAsia="zh-CN"/>
      </w:rPr>
      <w:t xml:space="preserve">    Hebei Province, China </w:t>
    </w:r>
    <w:r>
      <w:rPr>
        <w:rFonts w:hint="eastAsia" w:ascii="Times New Roman" w:hAnsi="Times New Roman" w:cs="Times New Roman"/>
        <w:sz w:val="21"/>
        <w:szCs w:val="32"/>
        <w:lang w:val="en-US" w:eastAsia="zh-CN"/>
      </w:rPr>
      <w:br w:type="textWrapping"/>
    </w:r>
    <w:r>
      <w:rPr>
        <w:rFonts w:hint="eastAsia" w:ascii="Times New Roman" w:hAnsi="Times New Roman" w:cs="Times New Roman"/>
        <w:sz w:val="21"/>
        <w:szCs w:val="32"/>
        <w:lang w:val="en-US" w:eastAsia="zh-CN"/>
      </w:rPr>
      <w:t xml:space="preserve">Email: </w:t>
    </w:r>
    <w:r>
      <w:rPr>
        <w:rFonts w:hint="eastAsia" w:ascii="Times New Roman" w:hAnsi="Times New Roman" w:cs="Times New Roman"/>
        <w:sz w:val="21"/>
        <w:szCs w:val="32"/>
        <w:lang w:val="en-US" w:eastAsia="zh-CN"/>
      </w:rPr>
      <w:fldChar w:fldCharType="begin"/>
    </w:r>
    <w:r>
      <w:rPr>
        <w:rFonts w:hint="eastAsia" w:ascii="Times New Roman" w:hAnsi="Times New Roman" w:cs="Times New Roman"/>
        <w:sz w:val="21"/>
        <w:szCs w:val="32"/>
        <w:lang w:val="en-US" w:eastAsia="zh-CN"/>
      </w:rPr>
      <w:instrText xml:space="preserve"> HYPERLINK "mailto:admin@hydraulicpumptech.com" </w:instrText>
    </w:r>
    <w:r>
      <w:rPr>
        <w:rFonts w:hint="eastAsia" w:ascii="Times New Roman" w:hAnsi="Times New Roman" w:cs="Times New Roman"/>
        <w:sz w:val="21"/>
        <w:szCs w:val="32"/>
        <w:lang w:val="en-US" w:eastAsia="zh-CN"/>
      </w:rPr>
      <w:fldChar w:fldCharType="separate"/>
    </w:r>
    <w:r>
      <w:rPr>
        <w:rStyle w:val="11"/>
        <w:rFonts w:hint="eastAsia" w:ascii="Times New Roman" w:hAnsi="Times New Roman" w:cs="Times New Roman"/>
        <w:sz w:val="21"/>
        <w:szCs w:val="32"/>
        <w:lang w:val="en-US" w:eastAsia="zh-CN"/>
      </w:rPr>
      <w:t>admin@hydraulicpumptech.com</w:t>
    </w:r>
    <w:r>
      <w:rPr>
        <w:rFonts w:hint="eastAsia" w:ascii="Times New Roman" w:hAnsi="Times New Roman" w:cs="Times New Roman"/>
        <w:sz w:val="21"/>
        <w:szCs w:val="32"/>
        <w:lang w:val="en-US" w:eastAsia="zh-CN"/>
      </w:rPr>
      <w:fldChar w:fldCharType="end"/>
    </w:r>
    <w:r>
      <w:rPr>
        <w:rFonts w:hint="eastAsia" w:ascii="Times New Roman" w:hAnsi="Times New Roman" w:cs="Times New Roman"/>
        <w:sz w:val="21"/>
        <w:szCs w:val="32"/>
        <w:lang w:val="en-US" w:eastAsia="zh-CN"/>
      </w:rPr>
      <w:t xml:space="preserve">  Tel/Whatsapp/Wechat: +8619932761114</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4DE61FF"/>
    <w:rsid w:val="01A45D7E"/>
    <w:rsid w:val="0CA42D4A"/>
    <w:rsid w:val="14DE61FF"/>
    <w:rsid w:val="2B492768"/>
    <w:rsid w:val="2D4B705C"/>
    <w:rsid w:val="5B952750"/>
    <w:rsid w:val="6510045E"/>
    <w:rsid w:val="69E20CC7"/>
    <w:rsid w:val="70407BDC"/>
    <w:rsid w:val="7D0E74CD"/>
    <w:rsid w:val="7DAD5F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Arial" w:hAnsi="Arial" w:eastAsiaTheme="minorEastAsia" w:cstheme="minorBidi"/>
      <w:kern w:val="2"/>
      <w:sz w:val="28"/>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styleId="11">
    <w:name w:val="Hyperlink"/>
    <w:basedOn w:val="9"/>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248</Words>
  <Characters>1703</Characters>
  <Lines>0</Lines>
  <Paragraphs>0</Paragraphs>
  <TotalTime>409</TotalTime>
  <ScaleCrop>false</ScaleCrop>
  <LinksUpToDate>false</LinksUpToDate>
  <CharactersWithSpaces>1923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2025-01-14T06:34:00Z</dcterms:created>
  <dc:creator>Administrator</dc:creator>
  <cp:lastModifiedBy>天高云淡</cp:lastModifiedBy>
  <dcterms:modified xsi:type="dcterms:W3CDTF">2025-12-18T08:20:58Z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7FF691840A0645B3BBE381BE3DD36D63_13</vt:lpwstr>
  </property>
  <property fmtid="{D5CDD505-2E9C-101B-9397-08002B2CF9AE}" pid="4" name="KSOTemplateDocerSaveRecord">
    <vt:lpwstr>eyJoZGlkIjoiYjc5YWI1ZDUxZTZlYWZiMDJmOTg0N2Y4NzEyY2FmODQiLCJ1c2VySWQiOiI4NzQzNjk3MzgifQ==</vt:lpwstr>
  </property>
</Properties>
</file>